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B5ED0" w14:textId="77777777" w:rsidR="00D96AC8" w:rsidRPr="0084006C" w:rsidRDefault="00D96AC8" w:rsidP="00D96AC8">
      <w:pPr>
        <w:rPr>
          <w:rFonts w:ascii="Open Sans" w:hAnsi="Open Sans" w:cs="Open Sans"/>
          <w:b/>
          <w:sz w:val="22"/>
        </w:rPr>
      </w:pPr>
      <w:r w:rsidRPr="0084006C">
        <w:rPr>
          <w:rFonts w:ascii="Open Sans" w:hAnsi="Open Sans" w:cs="Open Sans"/>
          <w:b/>
          <w:sz w:val="22"/>
        </w:rPr>
        <w:t>Memorandum</w:t>
      </w:r>
    </w:p>
    <w:p w14:paraId="79C10EA0" w14:textId="77777777" w:rsidR="00D96AC8" w:rsidRPr="0084006C" w:rsidRDefault="00D96AC8" w:rsidP="00D96AC8">
      <w:pPr>
        <w:rPr>
          <w:rFonts w:ascii="Open Sans" w:hAnsi="Open Sans" w:cs="Open Sans"/>
          <w:b/>
          <w:sz w:val="22"/>
        </w:rPr>
      </w:pPr>
    </w:p>
    <w:p w14:paraId="7E5B11BF" w14:textId="36F95941" w:rsidR="00D96AC8" w:rsidRPr="0084006C" w:rsidRDefault="00D96AC8" w:rsidP="0096400D">
      <w:pPr>
        <w:ind w:left="1440" w:hanging="1440"/>
        <w:rPr>
          <w:rFonts w:ascii="Open Sans" w:hAnsi="Open Sans" w:cs="Open Sans"/>
          <w:sz w:val="22"/>
        </w:rPr>
      </w:pPr>
      <w:r w:rsidRPr="0084006C">
        <w:rPr>
          <w:rFonts w:ascii="Open Sans" w:hAnsi="Open Sans" w:cs="Open Sans"/>
          <w:b/>
          <w:sz w:val="22"/>
        </w:rPr>
        <w:t>To:</w:t>
      </w:r>
      <w:r w:rsidRPr="0084006C">
        <w:rPr>
          <w:rFonts w:ascii="Open Sans" w:hAnsi="Open Sans" w:cs="Open Sans"/>
          <w:b/>
          <w:sz w:val="22"/>
        </w:rPr>
        <w:tab/>
      </w:r>
      <w:r w:rsidR="0096400D">
        <w:rPr>
          <w:rFonts w:ascii="Open Sans" w:hAnsi="Open Sans" w:cs="Open Sans"/>
          <w:sz w:val="22"/>
        </w:rPr>
        <w:t>Rebecca Raven, Executive Director – Canadian Federation of Library Associations</w:t>
      </w:r>
    </w:p>
    <w:p w14:paraId="06C4D5E2" w14:textId="77777777" w:rsidR="00D96AC8" w:rsidRPr="0084006C" w:rsidRDefault="00D96AC8" w:rsidP="00D96AC8">
      <w:pPr>
        <w:rPr>
          <w:rFonts w:ascii="Open Sans" w:hAnsi="Open Sans" w:cs="Open Sans"/>
          <w:b/>
          <w:sz w:val="22"/>
        </w:rPr>
      </w:pPr>
    </w:p>
    <w:p w14:paraId="484DFE91" w14:textId="62EB39AB" w:rsidR="00D96AC8" w:rsidRPr="0084006C" w:rsidRDefault="00D96AC8" w:rsidP="00D96AC8">
      <w:pPr>
        <w:rPr>
          <w:rFonts w:ascii="Open Sans" w:hAnsi="Open Sans" w:cs="Open Sans"/>
          <w:sz w:val="22"/>
        </w:rPr>
      </w:pPr>
      <w:r w:rsidRPr="0084006C">
        <w:rPr>
          <w:rFonts w:ascii="Open Sans" w:hAnsi="Open Sans" w:cs="Open Sans"/>
          <w:b/>
          <w:sz w:val="22"/>
        </w:rPr>
        <w:t>From:</w:t>
      </w:r>
      <w:r w:rsidRPr="0084006C">
        <w:rPr>
          <w:rFonts w:ascii="Open Sans" w:hAnsi="Open Sans" w:cs="Open Sans"/>
          <w:b/>
          <w:sz w:val="22"/>
        </w:rPr>
        <w:tab/>
      </w:r>
      <w:r w:rsidRPr="0084006C">
        <w:rPr>
          <w:rFonts w:ascii="Open Sans" w:hAnsi="Open Sans" w:cs="Open Sans"/>
          <w:sz w:val="22"/>
        </w:rPr>
        <w:tab/>
      </w:r>
      <w:r w:rsidR="0096400D">
        <w:rPr>
          <w:rFonts w:ascii="Open Sans" w:hAnsi="Open Sans" w:cs="Open Sans"/>
          <w:sz w:val="22"/>
        </w:rPr>
        <w:t>Brianna Workman – Manager, Government Policy – IMPACT Public Affairs</w:t>
      </w:r>
    </w:p>
    <w:p w14:paraId="732BD4BE" w14:textId="77777777" w:rsidR="00D96AC8" w:rsidRPr="0084006C" w:rsidRDefault="00D96AC8" w:rsidP="00D96AC8">
      <w:pPr>
        <w:rPr>
          <w:rFonts w:ascii="Open Sans" w:hAnsi="Open Sans" w:cs="Open Sans"/>
          <w:b/>
          <w:sz w:val="22"/>
        </w:rPr>
      </w:pPr>
    </w:p>
    <w:p w14:paraId="738D7595" w14:textId="6C4775AE" w:rsidR="00D96AC8" w:rsidRPr="0084006C" w:rsidRDefault="00D96AC8" w:rsidP="00D96AC8">
      <w:pPr>
        <w:rPr>
          <w:rFonts w:ascii="Open Sans" w:hAnsi="Open Sans" w:cs="Open Sans"/>
          <w:sz w:val="22"/>
        </w:rPr>
      </w:pPr>
      <w:r w:rsidRPr="0084006C">
        <w:rPr>
          <w:rFonts w:ascii="Open Sans" w:hAnsi="Open Sans" w:cs="Open Sans"/>
          <w:b/>
          <w:sz w:val="22"/>
        </w:rPr>
        <w:t>Subject:</w:t>
      </w:r>
      <w:r w:rsidRPr="0084006C">
        <w:rPr>
          <w:rFonts w:ascii="Open Sans" w:hAnsi="Open Sans" w:cs="Open Sans"/>
          <w:b/>
          <w:sz w:val="22"/>
        </w:rPr>
        <w:tab/>
      </w:r>
      <w:r w:rsidR="00F25F43">
        <w:rPr>
          <w:rFonts w:ascii="Open Sans" w:hAnsi="Open Sans" w:cs="Open Sans"/>
          <w:sz w:val="22"/>
        </w:rPr>
        <w:t>Budget 2021</w:t>
      </w:r>
    </w:p>
    <w:p w14:paraId="14E4B903" w14:textId="77777777" w:rsidR="00D96AC8" w:rsidRPr="0084006C" w:rsidRDefault="00D96AC8" w:rsidP="00D96AC8">
      <w:pPr>
        <w:rPr>
          <w:rFonts w:ascii="Open Sans" w:hAnsi="Open Sans" w:cs="Open Sans"/>
          <w:b/>
          <w:sz w:val="22"/>
        </w:rPr>
      </w:pPr>
    </w:p>
    <w:p w14:paraId="259A6083" w14:textId="5FA91270" w:rsidR="00D96AC8" w:rsidRPr="0084006C" w:rsidRDefault="00D96AC8" w:rsidP="00D96AC8">
      <w:pPr>
        <w:rPr>
          <w:rFonts w:ascii="Open Sans" w:hAnsi="Open Sans" w:cs="Open Sans"/>
          <w:sz w:val="22"/>
        </w:rPr>
      </w:pPr>
      <w:r w:rsidRPr="0084006C">
        <w:rPr>
          <w:rFonts w:ascii="Open Sans" w:hAnsi="Open Sans" w:cs="Open Sans"/>
          <w:b/>
          <w:sz w:val="22"/>
        </w:rPr>
        <w:t>Date:</w:t>
      </w:r>
      <w:r w:rsidRPr="0084006C">
        <w:rPr>
          <w:rFonts w:ascii="Open Sans" w:hAnsi="Open Sans" w:cs="Open Sans"/>
          <w:b/>
          <w:sz w:val="22"/>
        </w:rPr>
        <w:tab/>
      </w:r>
      <w:r w:rsidRPr="0084006C">
        <w:rPr>
          <w:rFonts w:ascii="Open Sans" w:hAnsi="Open Sans" w:cs="Open Sans"/>
          <w:b/>
          <w:sz w:val="22"/>
        </w:rPr>
        <w:tab/>
      </w:r>
      <w:r w:rsidR="00F25F43">
        <w:rPr>
          <w:rFonts w:ascii="Open Sans" w:hAnsi="Open Sans" w:cs="Open Sans"/>
          <w:sz w:val="22"/>
        </w:rPr>
        <w:t>April 19, 2021</w:t>
      </w:r>
    </w:p>
    <w:p w14:paraId="2E7552D0" w14:textId="77777777" w:rsidR="00D96AC8" w:rsidRPr="0084006C" w:rsidRDefault="00D96AC8" w:rsidP="00D96AC8">
      <w:pPr>
        <w:rPr>
          <w:rFonts w:ascii="Open Sans" w:hAnsi="Open Sans" w:cs="Open Sans"/>
          <w:b/>
          <w:u w:val="single"/>
        </w:rPr>
      </w:pPr>
      <w:r w:rsidRPr="0084006C">
        <w:rPr>
          <w:rFonts w:ascii="Open Sans" w:hAnsi="Open Sans" w:cs="Open Sans"/>
          <w:b/>
          <w:u w:val="single"/>
        </w:rPr>
        <w:tab/>
      </w:r>
      <w:r w:rsidRPr="0084006C">
        <w:rPr>
          <w:rFonts w:ascii="Open Sans" w:hAnsi="Open Sans" w:cs="Open Sans"/>
          <w:b/>
          <w:u w:val="single"/>
        </w:rPr>
        <w:tab/>
      </w:r>
      <w:r w:rsidRPr="0084006C">
        <w:rPr>
          <w:rFonts w:ascii="Open Sans" w:hAnsi="Open Sans" w:cs="Open Sans"/>
          <w:b/>
          <w:u w:val="single"/>
        </w:rPr>
        <w:tab/>
      </w:r>
      <w:r w:rsidRPr="0084006C">
        <w:rPr>
          <w:rFonts w:ascii="Open Sans" w:hAnsi="Open Sans" w:cs="Open Sans"/>
          <w:b/>
          <w:u w:val="single"/>
        </w:rPr>
        <w:tab/>
      </w:r>
      <w:r w:rsidRPr="0084006C">
        <w:rPr>
          <w:rFonts w:ascii="Open Sans" w:hAnsi="Open Sans" w:cs="Open Sans"/>
          <w:b/>
          <w:u w:val="single"/>
        </w:rPr>
        <w:tab/>
      </w:r>
      <w:r w:rsidRPr="0084006C">
        <w:rPr>
          <w:rFonts w:ascii="Open Sans" w:hAnsi="Open Sans" w:cs="Open Sans"/>
          <w:b/>
          <w:u w:val="single"/>
        </w:rPr>
        <w:tab/>
      </w:r>
      <w:r w:rsidRPr="0084006C">
        <w:rPr>
          <w:rFonts w:ascii="Open Sans" w:hAnsi="Open Sans" w:cs="Open Sans"/>
          <w:b/>
          <w:u w:val="single"/>
        </w:rPr>
        <w:tab/>
      </w:r>
      <w:r w:rsidRPr="0084006C">
        <w:rPr>
          <w:rFonts w:ascii="Open Sans" w:hAnsi="Open Sans" w:cs="Open Sans"/>
          <w:b/>
          <w:u w:val="single"/>
        </w:rPr>
        <w:tab/>
      </w:r>
      <w:r w:rsidRPr="0084006C">
        <w:rPr>
          <w:rFonts w:ascii="Open Sans" w:hAnsi="Open Sans" w:cs="Open Sans"/>
          <w:b/>
          <w:u w:val="single"/>
        </w:rPr>
        <w:tab/>
      </w:r>
      <w:r w:rsidRPr="0084006C">
        <w:rPr>
          <w:rFonts w:ascii="Open Sans" w:hAnsi="Open Sans" w:cs="Open Sans"/>
          <w:b/>
          <w:u w:val="single"/>
        </w:rPr>
        <w:tab/>
      </w:r>
      <w:r w:rsidRPr="0084006C">
        <w:rPr>
          <w:rFonts w:ascii="Open Sans" w:hAnsi="Open Sans" w:cs="Open Sans"/>
          <w:b/>
          <w:u w:val="single"/>
        </w:rPr>
        <w:tab/>
      </w:r>
      <w:r w:rsidRPr="0084006C">
        <w:rPr>
          <w:rFonts w:ascii="Open Sans" w:hAnsi="Open Sans" w:cs="Open Sans"/>
          <w:b/>
          <w:u w:val="single"/>
        </w:rPr>
        <w:tab/>
      </w:r>
    </w:p>
    <w:p w14:paraId="65F6CB81" w14:textId="77777777" w:rsidR="00D96AC8" w:rsidRPr="0084006C" w:rsidRDefault="00D96AC8" w:rsidP="00D96AC8">
      <w:pPr>
        <w:rPr>
          <w:rFonts w:ascii="Open Sans" w:hAnsi="Open Sans" w:cs="Open Sans"/>
        </w:rPr>
      </w:pPr>
    </w:p>
    <w:p w14:paraId="2E0CB281" w14:textId="77777777" w:rsidR="00BF7E95" w:rsidRPr="000A69CF" w:rsidRDefault="00BF7E95" w:rsidP="00BF7E95">
      <w:pPr>
        <w:spacing w:after="240" w:line="276" w:lineRule="auto"/>
        <w:rPr>
          <w:rFonts w:ascii="Open Sans" w:hAnsi="Open Sans" w:cs="Open Sans"/>
          <w:b/>
          <w:sz w:val="22"/>
        </w:rPr>
      </w:pPr>
      <w:r w:rsidRPr="000A69CF">
        <w:rPr>
          <w:rFonts w:ascii="Open Sans" w:hAnsi="Open Sans" w:cs="Open Sans"/>
          <w:b/>
          <w:sz w:val="22"/>
        </w:rPr>
        <w:t>General</w:t>
      </w:r>
    </w:p>
    <w:p w14:paraId="3828B8DC" w14:textId="77777777" w:rsidR="00BF7E95" w:rsidRPr="000A69CF" w:rsidRDefault="00BF7E95" w:rsidP="00BF7E95">
      <w:pPr>
        <w:spacing w:after="240" w:line="276" w:lineRule="auto"/>
        <w:rPr>
          <w:rFonts w:ascii="Open Sans" w:hAnsi="Open Sans" w:cs="Open Sans"/>
          <w:sz w:val="22"/>
        </w:rPr>
      </w:pPr>
      <w:r w:rsidRPr="000A69CF">
        <w:rPr>
          <w:rFonts w:ascii="Open Sans" w:hAnsi="Open Sans" w:cs="Open Sans"/>
          <w:sz w:val="22"/>
        </w:rPr>
        <w:t xml:space="preserve">Minister of Finance Chrystia Freeland unveiled the government’s first budget in over two years amid COVID-19 cases re-escalating across the country. This long-awaited budget is one of the most important budgets in recent history as many sectors of the economy are still reeling from the impacts of COVID-19, and provinces are navigating through new lockdowns and the vaccine roll-out. Budget 2021, which could double as a re-election pitch for the Liberals, provides the government’s roadmap to Canada’s economic recovery post-crisis and a plan to build a stronger and greener economy of the future. </w:t>
      </w:r>
    </w:p>
    <w:p w14:paraId="4D421A02" w14:textId="77777777" w:rsidR="001E1517" w:rsidRPr="000A69CF" w:rsidRDefault="001E1517" w:rsidP="001E1517">
      <w:pPr>
        <w:spacing w:after="240" w:line="276" w:lineRule="auto"/>
        <w:rPr>
          <w:rFonts w:ascii="Open Sans" w:hAnsi="Open Sans" w:cs="Open Sans"/>
          <w:sz w:val="22"/>
        </w:rPr>
      </w:pPr>
      <w:r w:rsidRPr="000A69CF">
        <w:rPr>
          <w:rFonts w:ascii="Open Sans" w:hAnsi="Open Sans" w:cs="Open Sans"/>
          <w:sz w:val="22"/>
        </w:rPr>
        <w:t>Themes include support for the hardest-hit sectors, investments in green energy, and support for those who have been disproportionately impacted</w:t>
      </w:r>
      <w:r>
        <w:rPr>
          <w:rFonts w:ascii="Open Sans" w:hAnsi="Open Sans" w:cs="Open Sans"/>
          <w:sz w:val="22"/>
        </w:rPr>
        <w:t xml:space="preserve"> by COVID-19. This includes support for women, I</w:t>
      </w:r>
      <w:r w:rsidRPr="000A69CF">
        <w:rPr>
          <w:rFonts w:ascii="Open Sans" w:hAnsi="Open Sans" w:cs="Open Sans"/>
          <w:sz w:val="22"/>
        </w:rPr>
        <w:t>ndigenous peoples, young peop</w:t>
      </w:r>
      <w:r>
        <w:rPr>
          <w:rFonts w:ascii="Open Sans" w:hAnsi="Open Sans" w:cs="Open Sans"/>
          <w:sz w:val="22"/>
        </w:rPr>
        <w:t>le and racialized Canadians, which are</w:t>
      </w:r>
      <w:r w:rsidRPr="000A69CF">
        <w:rPr>
          <w:rFonts w:ascii="Open Sans" w:hAnsi="Open Sans" w:cs="Open Sans"/>
          <w:sz w:val="22"/>
        </w:rPr>
        <w:t xml:space="preserve"> recurring </w:t>
      </w:r>
      <w:r>
        <w:rPr>
          <w:rFonts w:ascii="Open Sans" w:hAnsi="Open Sans" w:cs="Open Sans"/>
          <w:sz w:val="22"/>
        </w:rPr>
        <w:t xml:space="preserve">themes </w:t>
      </w:r>
      <w:r w:rsidRPr="000A69CF">
        <w:rPr>
          <w:rFonts w:ascii="Open Sans" w:hAnsi="Open Sans" w:cs="Open Sans"/>
          <w:sz w:val="22"/>
        </w:rPr>
        <w:t>throughout the budget.</w:t>
      </w:r>
    </w:p>
    <w:p w14:paraId="3549CAAC" w14:textId="77777777" w:rsidR="00BF7E95" w:rsidRPr="000A69CF" w:rsidRDefault="00BF7E95" w:rsidP="00BF7E95">
      <w:pPr>
        <w:spacing w:after="240" w:line="276" w:lineRule="auto"/>
        <w:rPr>
          <w:rFonts w:ascii="Open Sans" w:hAnsi="Open Sans" w:cs="Open Sans"/>
          <w:sz w:val="22"/>
        </w:rPr>
      </w:pPr>
      <w:r w:rsidRPr="000A69CF">
        <w:rPr>
          <w:rFonts w:ascii="Open Sans" w:hAnsi="Open Sans" w:cs="Open Sans"/>
          <w:sz w:val="22"/>
        </w:rPr>
        <w:t>Budget 2021 largely attempts to balance the need of providing an ongoing rescue plan for the damaged economy while setting the stage for a stronger economic rebound. To help businesses and workers while the pandemic still rages, the gov</w:t>
      </w:r>
      <w:r>
        <w:rPr>
          <w:rFonts w:ascii="Open Sans" w:hAnsi="Open Sans" w:cs="Open Sans"/>
          <w:sz w:val="22"/>
        </w:rPr>
        <w:t xml:space="preserve">ernment proposes to extend the Canada Emergency Wage Subsidy (CEWS) and Canada Emergency Rent Subsidy (CERS) until September, while also </w:t>
      </w:r>
      <w:r w:rsidRPr="000A69CF">
        <w:rPr>
          <w:rFonts w:ascii="Open Sans" w:hAnsi="Open Sans" w:cs="Open Sans"/>
          <w:sz w:val="22"/>
        </w:rPr>
        <w:t>implement</w:t>
      </w:r>
      <w:r>
        <w:rPr>
          <w:rFonts w:ascii="Open Sans" w:hAnsi="Open Sans" w:cs="Open Sans"/>
          <w:sz w:val="22"/>
        </w:rPr>
        <w:t>ing</w:t>
      </w:r>
      <w:r w:rsidRPr="000A69CF">
        <w:rPr>
          <w:rFonts w:ascii="Open Sans" w:hAnsi="Open Sans" w:cs="Open Sans"/>
          <w:sz w:val="22"/>
        </w:rPr>
        <w:t xml:space="preserve"> a new program to temporarily subsidize new hiring, providing $1,100 per month for every new employee. Overall, the budget proposes over $100 billion in stimulus spending in various programs and investments, including </w:t>
      </w:r>
      <w:r>
        <w:rPr>
          <w:rFonts w:ascii="Open Sans" w:hAnsi="Open Sans" w:cs="Open Sans"/>
          <w:sz w:val="22"/>
        </w:rPr>
        <w:t>$30 billion in funding over five</w:t>
      </w:r>
      <w:r w:rsidRPr="000A69CF">
        <w:rPr>
          <w:rFonts w:ascii="Open Sans" w:hAnsi="Open Sans" w:cs="Open Sans"/>
          <w:sz w:val="22"/>
        </w:rPr>
        <w:t xml:space="preserve"> years for a national early learning and child care system.</w:t>
      </w:r>
    </w:p>
    <w:p w14:paraId="6AF0F0F0" w14:textId="77777777" w:rsidR="00BF7E95" w:rsidRPr="000A69CF" w:rsidRDefault="00BF7E95" w:rsidP="00BF7E95">
      <w:pPr>
        <w:spacing w:after="240" w:line="276" w:lineRule="auto"/>
        <w:rPr>
          <w:rFonts w:ascii="Open Sans" w:hAnsi="Open Sans" w:cs="Open Sans"/>
          <w:b/>
          <w:bCs/>
          <w:sz w:val="22"/>
        </w:rPr>
      </w:pPr>
      <w:r>
        <w:rPr>
          <w:rFonts w:ascii="Open Sans" w:hAnsi="Open Sans" w:cs="Open Sans"/>
          <w:b/>
          <w:bCs/>
          <w:sz w:val="22"/>
        </w:rPr>
        <w:lastRenderedPageBreak/>
        <w:t>The Fiscal U</w:t>
      </w:r>
      <w:r w:rsidRPr="000A69CF">
        <w:rPr>
          <w:rFonts w:ascii="Open Sans" w:hAnsi="Open Sans" w:cs="Open Sans"/>
          <w:b/>
          <w:bCs/>
          <w:sz w:val="22"/>
        </w:rPr>
        <w:t xml:space="preserve">pdate </w:t>
      </w:r>
    </w:p>
    <w:p w14:paraId="385819D4" w14:textId="77777777" w:rsidR="00BF7E95" w:rsidRPr="000A69CF" w:rsidRDefault="00BF7E95" w:rsidP="00BF7E95">
      <w:pPr>
        <w:spacing w:after="240" w:line="276" w:lineRule="auto"/>
        <w:rPr>
          <w:rFonts w:ascii="Open Sans" w:hAnsi="Open Sans" w:cs="Open Sans"/>
          <w:sz w:val="22"/>
        </w:rPr>
      </w:pPr>
      <w:r w:rsidRPr="000A69CF">
        <w:rPr>
          <w:rFonts w:ascii="Open Sans" w:hAnsi="Open Sans" w:cs="Open Sans"/>
          <w:sz w:val="22"/>
        </w:rPr>
        <w:t>Last year’s deficit came in at $354.2 billion, lower than the $400 billion deficit projected in the Fall Economic Statement. The deficit is projected to reach $154.7 billion in 2021-2022 and $59.7 billion in 2022-2023</w:t>
      </w:r>
      <w:r>
        <w:rPr>
          <w:rFonts w:ascii="Open Sans" w:hAnsi="Open Sans" w:cs="Open Sans"/>
          <w:sz w:val="22"/>
        </w:rPr>
        <w:t xml:space="preserve">. </w:t>
      </w:r>
    </w:p>
    <w:p w14:paraId="0890ACF4" w14:textId="6D860DF4" w:rsidR="009647DA" w:rsidRPr="0084006C" w:rsidRDefault="009E0A86" w:rsidP="00823F6F">
      <w:pPr>
        <w:spacing w:after="240"/>
        <w:rPr>
          <w:rFonts w:ascii="Open Sans" w:hAnsi="Open Sans" w:cs="Open Sans"/>
          <w:b/>
          <w:sz w:val="22"/>
          <w:lang w:val="en-CA"/>
        </w:rPr>
      </w:pPr>
      <w:r w:rsidRPr="0084006C">
        <w:rPr>
          <w:rFonts w:ascii="Open Sans" w:hAnsi="Open Sans" w:cs="Open Sans"/>
          <w:b/>
          <w:sz w:val="22"/>
          <w:lang w:val="en-CA"/>
        </w:rPr>
        <w:t xml:space="preserve">Key </w:t>
      </w:r>
      <w:r w:rsidR="009564EB" w:rsidRPr="0084006C">
        <w:rPr>
          <w:rFonts w:ascii="Open Sans" w:hAnsi="Open Sans" w:cs="Open Sans"/>
          <w:b/>
          <w:sz w:val="22"/>
          <w:lang w:val="en-CA"/>
        </w:rPr>
        <w:t>Highlights</w:t>
      </w:r>
      <w:r w:rsidR="00BF7E95">
        <w:rPr>
          <w:rFonts w:ascii="Open Sans" w:hAnsi="Open Sans" w:cs="Open Sans"/>
          <w:b/>
          <w:sz w:val="22"/>
          <w:lang w:val="en-CA"/>
        </w:rPr>
        <w:t xml:space="preserve"> for CFLA-FCAB</w:t>
      </w:r>
    </w:p>
    <w:p w14:paraId="6E770795" w14:textId="36E8FB5D" w:rsidR="00BF7E95" w:rsidRDefault="00BF7E95" w:rsidP="00BF7E95">
      <w:pPr>
        <w:pStyle w:val="ListParagraph"/>
        <w:numPr>
          <w:ilvl w:val="0"/>
          <w:numId w:val="24"/>
        </w:numPr>
        <w:spacing w:after="240"/>
        <w:rPr>
          <w:rFonts w:ascii="Open Sans" w:hAnsi="Open Sans" w:cs="Open Sans"/>
          <w:sz w:val="22"/>
          <w:lang w:val="en-CA"/>
        </w:rPr>
      </w:pPr>
      <w:r>
        <w:rPr>
          <w:rFonts w:ascii="Open Sans" w:hAnsi="Open Sans" w:cs="Open Sans"/>
          <w:sz w:val="22"/>
          <w:lang w:val="en-CA"/>
        </w:rPr>
        <w:t xml:space="preserve">The budget includes a large section on the application of the HST/GST to e-commerce. Under eligible deductions, Budget 2021 proposes an amendment </w:t>
      </w:r>
      <w:r w:rsidRPr="00BF7E95">
        <w:rPr>
          <w:rFonts w:ascii="Open Sans" w:hAnsi="Open Sans" w:cs="Open Sans"/>
          <w:sz w:val="22"/>
          <w:lang w:val="en-CA"/>
        </w:rPr>
        <w:t>to clarify that suppliers registered for the GST/HST under the simplified framework are eligible to deduct amounts for bad debts and certain provincial HST point-of-sale rebates to purchasers (e.g., in respect of audio books) from the tax that</w:t>
      </w:r>
      <w:r>
        <w:rPr>
          <w:rFonts w:ascii="Open Sans" w:hAnsi="Open Sans" w:cs="Open Sans"/>
          <w:sz w:val="22"/>
          <w:lang w:val="en-CA"/>
        </w:rPr>
        <w:t xml:space="preserve"> they are required to remit. It is specifically noted</w:t>
      </w:r>
      <w:r w:rsidRPr="00BF7E95">
        <w:rPr>
          <w:rFonts w:ascii="Open Sans" w:hAnsi="Open Sans" w:cs="Open Sans"/>
          <w:sz w:val="22"/>
          <w:lang w:val="en-CA"/>
        </w:rPr>
        <w:t xml:space="preserve"> that </w:t>
      </w:r>
      <w:r w:rsidRPr="001E1517">
        <w:rPr>
          <w:rFonts w:ascii="Open Sans" w:hAnsi="Open Sans" w:cs="Open Sans"/>
          <w:b/>
          <w:sz w:val="22"/>
          <w:lang w:val="en-CA"/>
        </w:rPr>
        <w:t>public libraries</w:t>
      </w:r>
      <w:r w:rsidRPr="00BF7E95">
        <w:rPr>
          <w:rFonts w:ascii="Open Sans" w:hAnsi="Open Sans" w:cs="Open Sans"/>
          <w:sz w:val="22"/>
          <w:lang w:val="en-CA"/>
        </w:rPr>
        <w:t xml:space="preserve"> and similar institutions are eligible to claim a rebate for the GST paid on audio books acquired from those suppliers</w:t>
      </w:r>
      <w:r>
        <w:rPr>
          <w:rFonts w:ascii="Open Sans" w:hAnsi="Open Sans" w:cs="Open Sans"/>
          <w:sz w:val="22"/>
          <w:lang w:val="en-CA"/>
        </w:rPr>
        <w:t xml:space="preserve">. </w:t>
      </w:r>
    </w:p>
    <w:p w14:paraId="004705EC" w14:textId="77777777" w:rsidR="00BF7E95" w:rsidRPr="00BF7E95" w:rsidRDefault="00BF7E95" w:rsidP="00BF7E95">
      <w:pPr>
        <w:pStyle w:val="ListParagraph"/>
        <w:spacing w:after="240"/>
        <w:ind w:left="780"/>
        <w:rPr>
          <w:rFonts w:ascii="Open Sans" w:hAnsi="Open Sans" w:cs="Open Sans"/>
          <w:sz w:val="22"/>
          <w:lang w:val="en-CA"/>
        </w:rPr>
      </w:pPr>
    </w:p>
    <w:p w14:paraId="31BF457F" w14:textId="03C66E02" w:rsidR="00A8556E" w:rsidRDefault="00BF7E95" w:rsidP="00BF7E95">
      <w:pPr>
        <w:pStyle w:val="ListParagraph"/>
        <w:numPr>
          <w:ilvl w:val="0"/>
          <w:numId w:val="24"/>
        </w:numPr>
        <w:spacing w:after="240"/>
        <w:rPr>
          <w:rFonts w:ascii="Open Sans" w:hAnsi="Open Sans" w:cs="Open Sans"/>
          <w:sz w:val="22"/>
          <w:lang w:val="en-CA"/>
        </w:rPr>
      </w:pPr>
      <w:r w:rsidRPr="00BF7E95">
        <w:rPr>
          <w:rFonts w:ascii="Open Sans" w:hAnsi="Open Sans" w:cs="Open Sans"/>
          <w:sz w:val="22"/>
          <w:lang w:val="en-CA"/>
        </w:rPr>
        <w:t>Budget 2021 also proposes to provide $14.9 million over four years,</w:t>
      </w:r>
      <w:r>
        <w:rPr>
          <w:rFonts w:ascii="Open Sans" w:hAnsi="Open Sans" w:cs="Open Sans"/>
          <w:sz w:val="22"/>
          <w:lang w:val="en-CA"/>
        </w:rPr>
        <w:t xml:space="preserve"> </w:t>
      </w:r>
      <w:r w:rsidRPr="00BF7E95">
        <w:rPr>
          <w:rFonts w:ascii="Open Sans" w:hAnsi="Open Sans" w:cs="Open Sans"/>
          <w:sz w:val="22"/>
          <w:lang w:val="en-CA"/>
        </w:rPr>
        <w:t>beginning in 2021-22, to support the preservation of Indigenous heritage</w:t>
      </w:r>
      <w:r>
        <w:rPr>
          <w:rFonts w:ascii="Open Sans" w:hAnsi="Open Sans" w:cs="Open Sans"/>
          <w:sz w:val="22"/>
          <w:lang w:val="en-CA"/>
        </w:rPr>
        <w:t xml:space="preserve"> </w:t>
      </w:r>
      <w:r w:rsidRPr="00BF7E95">
        <w:rPr>
          <w:rFonts w:ascii="Open Sans" w:hAnsi="Open Sans" w:cs="Open Sans"/>
          <w:sz w:val="22"/>
          <w:lang w:val="en-CA"/>
        </w:rPr>
        <w:t>through Library and Archives Canada. This will ensure that Indigenous</w:t>
      </w:r>
      <w:r>
        <w:rPr>
          <w:rFonts w:ascii="Open Sans" w:hAnsi="Open Sans" w:cs="Open Sans"/>
          <w:sz w:val="22"/>
          <w:lang w:val="en-CA"/>
        </w:rPr>
        <w:t xml:space="preserve"> </w:t>
      </w:r>
      <w:r w:rsidRPr="00BF7E95">
        <w:rPr>
          <w:rFonts w:ascii="Open Sans" w:hAnsi="Open Sans" w:cs="Open Sans"/>
          <w:sz w:val="22"/>
          <w:lang w:val="en-CA"/>
        </w:rPr>
        <w:t>women, girls, 2SLGBTQQIA+ people, and all people in Canada have</w:t>
      </w:r>
      <w:r>
        <w:rPr>
          <w:rFonts w:ascii="Open Sans" w:hAnsi="Open Sans" w:cs="Open Sans"/>
          <w:sz w:val="22"/>
          <w:lang w:val="en-CA"/>
        </w:rPr>
        <w:t xml:space="preserve"> </w:t>
      </w:r>
      <w:r w:rsidRPr="00BF7E95">
        <w:rPr>
          <w:rFonts w:ascii="Open Sans" w:hAnsi="Open Sans" w:cs="Open Sans"/>
          <w:sz w:val="22"/>
          <w:lang w:val="en-CA"/>
        </w:rPr>
        <w:t>meaningful access to their cultures and languages.</w:t>
      </w:r>
    </w:p>
    <w:p w14:paraId="6C1C907D" w14:textId="77777777" w:rsidR="00932801" w:rsidRPr="00FA00B4" w:rsidRDefault="00932801" w:rsidP="00932801">
      <w:pPr>
        <w:pStyle w:val="ListParagraph"/>
        <w:rPr>
          <w:rFonts w:ascii="Open Sans" w:hAnsi="Open Sans" w:cs="Open Sans"/>
          <w:sz w:val="22"/>
          <w:lang w:val="en-CA"/>
        </w:rPr>
      </w:pPr>
    </w:p>
    <w:p w14:paraId="43A4D8B9" w14:textId="08FB009A" w:rsidR="00932801" w:rsidRPr="00FA00B4" w:rsidRDefault="001E1517" w:rsidP="00932801">
      <w:pPr>
        <w:pStyle w:val="ListParagraph"/>
        <w:numPr>
          <w:ilvl w:val="0"/>
          <w:numId w:val="25"/>
        </w:numPr>
        <w:spacing w:after="240" w:line="276" w:lineRule="auto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This budget also notes a </w:t>
      </w:r>
      <w:r w:rsidRPr="00FA00B4">
        <w:rPr>
          <w:rFonts w:ascii="Open Sans" w:hAnsi="Open Sans" w:cs="Open Sans"/>
          <w:sz w:val="22"/>
        </w:rPr>
        <w:t>one-time investment of $2.2 billion to address and continue infrastructure priorities in municipalities and First Nations</w:t>
      </w:r>
      <w:r>
        <w:rPr>
          <w:rFonts w:ascii="Open Sans" w:hAnsi="Open Sans" w:cs="Open Sans"/>
          <w:sz w:val="22"/>
        </w:rPr>
        <w:t xml:space="preserve"> </w:t>
      </w:r>
      <w:r w:rsidR="00932801" w:rsidRPr="00FA00B4">
        <w:rPr>
          <w:rFonts w:ascii="Open Sans" w:hAnsi="Open Sans" w:cs="Open Sans"/>
          <w:sz w:val="22"/>
        </w:rPr>
        <w:t>the Canada Community-Building Fund (formerly federal Gas Tax Fund</w:t>
      </w:r>
      <w:r>
        <w:rPr>
          <w:rFonts w:ascii="Open Sans" w:hAnsi="Open Sans" w:cs="Open Sans"/>
          <w:sz w:val="22"/>
        </w:rPr>
        <w:t>)</w:t>
      </w:r>
      <w:r w:rsidR="00932801" w:rsidRPr="00FA00B4">
        <w:rPr>
          <w:rFonts w:ascii="Open Sans" w:hAnsi="Open Sans" w:cs="Open Sans"/>
          <w:sz w:val="22"/>
        </w:rPr>
        <w:t xml:space="preserve">. </w:t>
      </w:r>
      <w:r>
        <w:rPr>
          <w:rFonts w:ascii="Open Sans" w:hAnsi="Open Sans" w:cs="Open Sans"/>
          <w:sz w:val="22"/>
        </w:rPr>
        <w:t xml:space="preserve">This funding could impact key community hubs, such as libraries. </w:t>
      </w:r>
    </w:p>
    <w:p w14:paraId="4D73E6B4" w14:textId="77777777" w:rsidR="00FA00B4" w:rsidRPr="00FA00B4" w:rsidRDefault="00FA00B4" w:rsidP="00FA00B4">
      <w:pPr>
        <w:pStyle w:val="ListParagraph"/>
        <w:spacing w:after="240" w:line="276" w:lineRule="auto"/>
        <w:rPr>
          <w:rFonts w:ascii="Open Sans" w:hAnsi="Open Sans" w:cs="Open Sans"/>
          <w:sz w:val="22"/>
        </w:rPr>
      </w:pPr>
    </w:p>
    <w:p w14:paraId="25D42430" w14:textId="70A8ECBB" w:rsidR="00FA00B4" w:rsidRPr="00FA00B4" w:rsidRDefault="001E1517" w:rsidP="00FA00B4">
      <w:pPr>
        <w:pStyle w:val="ListParagraph"/>
        <w:numPr>
          <w:ilvl w:val="0"/>
          <w:numId w:val="25"/>
        </w:numPr>
        <w:spacing w:after="240" w:line="276" w:lineRule="auto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Budget 2021 also proposes an investment </w:t>
      </w:r>
      <w:r w:rsidRPr="00FA00B4">
        <w:rPr>
          <w:rFonts w:ascii="Open Sans" w:hAnsi="Open Sans" w:cs="Open Sans"/>
          <w:sz w:val="22"/>
        </w:rPr>
        <w:t>$500 million over two year</w:t>
      </w:r>
      <w:r>
        <w:rPr>
          <w:rFonts w:ascii="Open Sans" w:hAnsi="Open Sans" w:cs="Open Sans"/>
          <w:sz w:val="22"/>
        </w:rPr>
        <w:t>s in the</w:t>
      </w:r>
      <w:r w:rsidR="00DA0005">
        <w:rPr>
          <w:rFonts w:ascii="Open Sans" w:hAnsi="Open Sans" w:cs="Open Sans"/>
          <w:sz w:val="22"/>
        </w:rPr>
        <w:t xml:space="preserve"> </w:t>
      </w:r>
      <w:r w:rsidR="00FA00B4" w:rsidRPr="00FA00B4">
        <w:rPr>
          <w:rFonts w:ascii="Open Sans" w:hAnsi="Open Sans" w:cs="Open Sans"/>
          <w:sz w:val="22"/>
        </w:rPr>
        <w:t xml:space="preserve">Canada </w:t>
      </w:r>
      <w:r>
        <w:rPr>
          <w:rFonts w:ascii="Open Sans" w:hAnsi="Open Sans" w:cs="Open Sans"/>
          <w:sz w:val="22"/>
        </w:rPr>
        <w:t xml:space="preserve">Community Revitalization Fund. This funding will go through </w:t>
      </w:r>
      <w:r w:rsidR="00FA00B4" w:rsidRPr="00FA00B4">
        <w:rPr>
          <w:rFonts w:ascii="Open Sans" w:hAnsi="Open Sans" w:cs="Open Sans"/>
          <w:sz w:val="22"/>
        </w:rPr>
        <w:t>the regional development agencies for community infrastructure to stimulate local economies and create jobs.</w:t>
      </w:r>
    </w:p>
    <w:p w14:paraId="5E25752A" w14:textId="77777777" w:rsidR="00FA00B4" w:rsidRPr="00FA00B4" w:rsidRDefault="00FA00B4" w:rsidP="00FA00B4">
      <w:pPr>
        <w:pStyle w:val="ListParagraph"/>
        <w:spacing w:after="240" w:line="276" w:lineRule="auto"/>
        <w:rPr>
          <w:rFonts w:ascii="Open Sans" w:hAnsi="Open Sans" w:cs="Open Sans"/>
          <w:sz w:val="22"/>
        </w:rPr>
      </w:pPr>
    </w:p>
    <w:p w14:paraId="3B885879" w14:textId="7B4724DC" w:rsidR="00FA00B4" w:rsidRPr="00FA00B4" w:rsidRDefault="001E1517" w:rsidP="00FA00B4">
      <w:pPr>
        <w:pStyle w:val="ListParagraph"/>
        <w:numPr>
          <w:ilvl w:val="0"/>
          <w:numId w:val="25"/>
        </w:numPr>
        <w:spacing w:after="240" w:line="276" w:lineRule="auto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The budget also proposes a</w:t>
      </w:r>
      <w:r w:rsidR="00FA00B4" w:rsidRPr="00FA00B4">
        <w:rPr>
          <w:rFonts w:ascii="Open Sans" w:hAnsi="Open Sans" w:cs="Open Sans"/>
          <w:sz w:val="22"/>
        </w:rPr>
        <w:t>n investment of $6.0 billion over 5 years</w:t>
      </w:r>
      <w:r>
        <w:rPr>
          <w:rFonts w:ascii="Open Sans" w:hAnsi="Open Sans" w:cs="Open Sans"/>
          <w:sz w:val="22"/>
        </w:rPr>
        <w:t xml:space="preserve"> </w:t>
      </w:r>
      <w:r w:rsidR="00FA00B4" w:rsidRPr="00FA00B4">
        <w:rPr>
          <w:rFonts w:ascii="Open Sans" w:hAnsi="Open Sans" w:cs="Open Sans"/>
          <w:sz w:val="22"/>
        </w:rPr>
        <w:t xml:space="preserve">to support infrastructure in Indigenous communities, including: </w:t>
      </w:r>
    </w:p>
    <w:p w14:paraId="78B6FE5C" w14:textId="77777777" w:rsidR="00FA00B4" w:rsidRPr="00FA00B4" w:rsidRDefault="00FA00B4" w:rsidP="00FA00B4">
      <w:pPr>
        <w:pStyle w:val="ListParagraph"/>
        <w:numPr>
          <w:ilvl w:val="1"/>
          <w:numId w:val="25"/>
        </w:numPr>
        <w:spacing w:after="240" w:line="276" w:lineRule="auto"/>
        <w:rPr>
          <w:rFonts w:ascii="Open Sans" w:hAnsi="Open Sans" w:cs="Open Sans"/>
          <w:sz w:val="22"/>
        </w:rPr>
      </w:pPr>
      <w:r w:rsidRPr="00FA00B4">
        <w:rPr>
          <w:rFonts w:ascii="Open Sans" w:hAnsi="Open Sans" w:cs="Open Sans"/>
          <w:sz w:val="22"/>
        </w:rPr>
        <w:t xml:space="preserve">$4.3 billion over four years for the Indigenous Community Infrastructure Fund, a distinctions-based fund to support immediate demands, as prioritized by Indigenous partners. </w:t>
      </w:r>
    </w:p>
    <w:p w14:paraId="4B5A8E94" w14:textId="31192315" w:rsidR="00932801" w:rsidRPr="001E1517" w:rsidRDefault="00FA00B4" w:rsidP="00FA00B4">
      <w:pPr>
        <w:pStyle w:val="ListParagraph"/>
        <w:numPr>
          <w:ilvl w:val="1"/>
          <w:numId w:val="25"/>
        </w:numPr>
        <w:spacing w:after="240" w:line="276" w:lineRule="auto"/>
        <w:rPr>
          <w:rFonts w:ascii="Open Sans" w:hAnsi="Open Sans" w:cs="Open Sans"/>
          <w:sz w:val="22"/>
        </w:rPr>
      </w:pPr>
      <w:r w:rsidRPr="00FA00B4">
        <w:rPr>
          <w:rFonts w:ascii="Open Sans" w:hAnsi="Open Sans" w:cs="Open Sans"/>
          <w:sz w:val="22"/>
        </w:rPr>
        <w:t xml:space="preserve">$1.7 billion over five years to cover the operations and maintenance costs of community infrastructure in First Nations communities on reserve. </w:t>
      </w:r>
      <w:bookmarkStart w:id="0" w:name="_GoBack"/>
      <w:bookmarkEnd w:id="0"/>
    </w:p>
    <w:sectPr w:rsidR="00932801" w:rsidRPr="001E1517" w:rsidSect="005D0FFF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7DED6" w14:textId="77777777" w:rsidR="00284740" w:rsidRDefault="00284740">
      <w:r>
        <w:separator/>
      </w:r>
    </w:p>
  </w:endnote>
  <w:endnote w:type="continuationSeparator" w:id="0">
    <w:p w14:paraId="594BC8A4" w14:textId="77777777" w:rsidR="00284740" w:rsidRDefault="0028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08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0CE41" w14:textId="77777777" w:rsidR="00141A25" w:rsidRDefault="00D117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54EA8" w14:textId="77777777" w:rsidR="00141A25" w:rsidRDefault="00284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1490" w14:textId="77777777" w:rsidR="00284740" w:rsidRDefault="00284740">
      <w:r>
        <w:separator/>
      </w:r>
    </w:p>
  </w:footnote>
  <w:footnote w:type="continuationSeparator" w:id="0">
    <w:p w14:paraId="1DBA5AF9" w14:textId="77777777" w:rsidR="00284740" w:rsidRDefault="0028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1FE4" w14:textId="77777777" w:rsidR="00141A25" w:rsidRDefault="00D1177E" w:rsidP="005D0FFF">
    <w:pPr>
      <w:pStyle w:val="Header"/>
      <w:jc w:val="center"/>
    </w:pPr>
    <w:r>
      <w:rPr>
        <w:noProof/>
      </w:rPr>
      <w:drawing>
        <wp:inline distT="0" distB="0" distL="0" distR="0" wp14:anchorId="119E0EDA" wp14:editId="77AC7917">
          <wp:extent cx="2712720" cy="125237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pact_PublicAffairs_2017Logo.lo-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9" b="14167"/>
                  <a:stretch/>
                </pic:blipFill>
                <pic:spPr bwMode="auto">
                  <a:xfrm>
                    <a:off x="0" y="0"/>
                    <a:ext cx="2727696" cy="1259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923B88" w14:textId="77777777" w:rsidR="00141A25" w:rsidRDefault="00284740" w:rsidP="005D0F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58F6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34850"/>
    <w:multiLevelType w:val="hybridMultilevel"/>
    <w:tmpl w:val="E60E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1C5"/>
    <w:multiLevelType w:val="hybridMultilevel"/>
    <w:tmpl w:val="D72C4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8776F"/>
    <w:multiLevelType w:val="hybridMultilevel"/>
    <w:tmpl w:val="520A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5849"/>
    <w:multiLevelType w:val="hybridMultilevel"/>
    <w:tmpl w:val="4354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FEA"/>
    <w:multiLevelType w:val="hybridMultilevel"/>
    <w:tmpl w:val="9C50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2CD1"/>
    <w:multiLevelType w:val="hybridMultilevel"/>
    <w:tmpl w:val="1B4CB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6127"/>
    <w:multiLevelType w:val="hybridMultilevel"/>
    <w:tmpl w:val="E172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C2D5B"/>
    <w:multiLevelType w:val="hybridMultilevel"/>
    <w:tmpl w:val="4AE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E7DA5"/>
    <w:multiLevelType w:val="hybridMultilevel"/>
    <w:tmpl w:val="EA1CF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D5E4D"/>
    <w:multiLevelType w:val="hybridMultilevel"/>
    <w:tmpl w:val="E2FA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4160E"/>
    <w:multiLevelType w:val="hybridMultilevel"/>
    <w:tmpl w:val="B800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A11B1"/>
    <w:multiLevelType w:val="hybridMultilevel"/>
    <w:tmpl w:val="DEC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17E83"/>
    <w:multiLevelType w:val="hybridMultilevel"/>
    <w:tmpl w:val="8ED2AE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EE86DC2"/>
    <w:multiLevelType w:val="hybridMultilevel"/>
    <w:tmpl w:val="D8E2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F04E0"/>
    <w:multiLevelType w:val="hybridMultilevel"/>
    <w:tmpl w:val="C80E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46F1"/>
    <w:multiLevelType w:val="hybridMultilevel"/>
    <w:tmpl w:val="995C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F246B"/>
    <w:multiLevelType w:val="hybridMultilevel"/>
    <w:tmpl w:val="A1B6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63FFD"/>
    <w:multiLevelType w:val="hybridMultilevel"/>
    <w:tmpl w:val="FB1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507BF"/>
    <w:multiLevelType w:val="hybridMultilevel"/>
    <w:tmpl w:val="D1C2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117A1"/>
    <w:multiLevelType w:val="hybridMultilevel"/>
    <w:tmpl w:val="0DC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A19B0"/>
    <w:multiLevelType w:val="hybridMultilevel"/>
    <w:tmpl w:val="81F8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D50D8"/>
    <w:multiLevelType w:val="hybridMultilevel"/>
    <w:tmpl w:val="47D2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2BAB"/>
    <w:multiLevelType w:val="hybridMultilevel"/>
    <w:tmpl w:val="1882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636E9"/>
    <w:multiLevelType w:val="hybridMultilevel"/>
    <w:tmpl w:val="9CC2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0"/>
  </w:num>
  <w:num w:numId="5">
    <w:abstractNumId w:val="17"/>
  </w:num>
  <w:num w:numId="6">
    <w:abstractNumId w:val="21"/>
  </w:num>
  <w:num w:numId="7">
    <w:abstractNumId w:val="0"/>
  </w:num>
  <w:num w:numId="8">
    <w:abstractNumId w:val="23"/>
  </w:num>
  <w:num w:numId="9">
    <w:abstractNumId w:val="18"/>
  </w:num>
  <w:num w:numId="10">
    <w:abstractNumId w:val="19"/>
  </w:num>
  <w:num w:numId="11">
    <w:abstractNumId w:val="24"/>
  </w:num>
  <w:num w:numId="12">
    <w:abstractNumId w:val="5"/>
  </w:num>
  <w:num w:numId="13">
    <w:abstractNumId w:val="8"/>
  </w:num>
  <w:num w:numId="14">
    <w:abstractNumId w:val="12"/>
  </w:num>
  <w:num w:numId="15">
    <w:abstractNumId w:val="11"/>
  </w:num>
  <w:num w:numId="16">
    <w:abstractNumId w:val="3"/>
  </w:num>
  <w:num w:numId="17">
    <w:abstractNumId w:val="22"/>
  </w:num>
  <w:num w:numId="18">
    <w:abstractNumId w:val="10"/>
  </w:num>
  <w:num w:numId="19">
    <w:abstractNumId w:val="2"/>
  </w:num>
  <w:num w:numId="20">
    <w:abstractNumId w:val="4"/>
  </w:num>
  <w:num w:numId="21">
    <w:abstractNumId w:val="14"/>
  </w:num>
  <w:num w:numId="22">
    <w:abstractNumId w:val="15"/>
  </w:num>
  <w:num w:numId="23">
    <w:abstractNumId w:val="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jIyNrewNDGzNDZW0lEKTi0uzszPAykwrQUA8p4W8SwAAAA="/>
  </w:docVars>
  <w:rsids>
    <w:rsidRoot w:val="00D96AC8"/>
    <w:rsid w:val="00051A85"/>
    <w:rsid w:val="000757E5"/>
    <w:rsid w:val="00084640"/>
    <w:rsid w:val="000A3CAA"/>
    <w:rsid w:val="000C5D0C"/>
    <w:rsid w:val="000D3220"/>
    <w:rsid w:val="000F320C"/>
    <w:rsid w:val="000F3D7F"/>
    <w:rsid w:val="0014379F"/>
    <w:rsid w:val="00144871"/>
    <w:rsid w:val="0014565B"/>
    <w:rsid w:val="00164E6C"/>
    <w:rsid w:val="0019736A"/>
    <w:rsid w:val="001D77F4"/>
    <w:rsid w:val="001E1517"/>
    <w:rsid w:val="001F04E5"/>
    <w:rsid w:val="001F17E1"/>
    <w:rsid w:val="00226693"/>
    <w:rsid w:val="00240361"/>
    <w:rsid w:val="00265AD4"/>
    <w:rsid w:val="002771B3"/>
    <w:rsid w:val="00284740"/>
    <w:rsid w:val="00284C18"/>
    <w:rsid w:val="002E6324"/>
    <w:rsid w:val="00304DE8"/>
    <w:rsid w:val="00371022"/>
    <w:rsid w:val="00381D50"/>
    <w:rsid w:val="003A55AC"/>
    <w:rsid w:val="003B7BDD"/>
    <w:rsid w:val="003C795D"/>
    <w:rsid w:val="004D7788"/>
    <w:rsid w:val="004E0EF4"/>
    <w:rsid w:val="004E4DFB"/>
    <w:rsid w:val="00537516"/>
    <w:rsid w:val="00540A72"/>
    <w:rsid w:val="0058050E"/>
    <w:rsid w:val="005D112B"/>
    <w:rsid w:val="005F1877"/>
    <w:rsid w:val="00616126"/>
    <w:rsid w:val="00665517"/>
    <w:rsid w:val="00691EE7"/>
    <w:rsid w:val="00735659"/>
    <w:rsid w:val="007377B3"/>
    <w:rsid w:val="007761DF"/>
    <w:rsid w:val="00787EE3"/>
    <w:rsid w:val="00823F6F"/>
    <w:rsid w:val="0082762A"/>
    <w:rsid w:val="00827F98"/>
    <w:rsid w:val="0084006C"/>
    <w:rsid w:val="00894AF9"/>
    <w:rsid w:val="008D5013"/>
    <w:rsid w:val="008F79BD"/>
    <w:rsid w:val="00921303"/>
    <w:rsid w:val="00924DE3"/>
    <w:rsid w:val="00932801"/>
    <w:rsid w:val="009564EB"/>
    <w:rsid w:val="0096400D"/>
    <w:rsid w:val="009647DA"/>
    <w:rsid w:val="009A0978"/>
    <w:rsid w:val="009D128C"/>
    <w:rsid w:val="009E0A86"/>
    <w:rsid w:val="009E5FB3"/>
    <w:rsid w:val="009F121F"/>
    <w:rsid w:val="00A13010"/>
    <w:rsid w:val="00A17549"/>
    <w:rsid w:val="00A65B36"/>
    <w:rsid w:val="00A8556E"/>
    <w:rsid w:val="00AA29DD"/>
    <w:rsid w:val="00AB11E2"/>
    <w:rsid w:val="00AE64C5"/>
    <w:rsid w:val="00B050D3"/>
    <w:rsid w:val="00B33E1F"/>
    <w:rsid w:val="00B82896"/>
    <w:rsid w:val="00B83098"/>
    <w:rsid w:val="00BB272F"/>
    <w:rsid w:val="00BF5600"/>
    <w:rsid w:val="00BF7E95"/>
    <w:rsid w:val="00C25A93"/>
    <w:rsid w:val="00C87D99"/>
    <w:rsid w:val="00CB2C41"/>
    <w:rsid w:val="00CB3352"/>
    <w:rsid w:val="00CD4BD3"/>
    <w:rsid w:val="00D1177E"/>
    <w:rsid w:val="00D551A2"/>
    <w:rsid w:val="00D75755"/>
    <w:rsid w:val="00D96AC8"/>
    <w:rsid w:val="00DA0005"/>
    <w:rsid w:val="00DD44E5"/>
    <w:rsid w:val="00DE465A"/>
    <w:rsid w:val="00DF60B3"/>
    <w:rsid w:val="00E170D7"/>
    <w:rsid w:val="00E32C35"/>
    <w:rsid w:val="00E559B4"/>
    <w:rsid w:val="00EA28F6"/>
    <w:rsid w:val="00EB7FFD"/>
    <w:rsid w:val="00EF1A93"/>
    <w:rsid w:val="00EF1AC9"/>
    <w:rsid w:val="00F25F43"/>
    <w:rsid w:val="00F4117B"/>
    <w:rsid w:val="00F41C68"/>
    <w:rsid w:val="00FA00B4"/>
    <w:rsid w:val="00FA148E"/>
    <w:rsid w:val="00FE0BCC"/>
    <w:rsid w:val="00FE4449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AD90"/>
  <w15:chartTrackingRefBased/>
  <w15:docId w15:val="{6C7A914A-FB06-4F05-B022-7CBB87DC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6AC8"/>
  </w:style>
  <w:style w:type="paragraph" w:styleId="Footer">
    <w:name w:val="footer"/>
    <w:basedOn w:val="Normal"/>
    <w:link w:val="FooterChar"/>
    <w:uiPriority w:val="99"/>
    <w:unhideWhenUsed/>
    <w:rsid w:val="00D96A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6AC8"/>
  </w:style>
  <w:style w:type="paragraph" w:styleId="ListParagraph">
    <w:name w:val="List Paragraph"/>
    <w:basedOn w:val="Normal"/>
    <w:uiPriority w:val="34"/>
    <w:qFormat/>
    <w:rsid w:val="00D96AC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96AC8"/>
    <w:pPr>
      <w:numPr>
        <w:numId w:val="7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9E0A86"/>
  </w:style>
  <w:style w:type="character" w:styleId="Hyperlink">
    <w:name w:val="Hyperlink"/>
    <w:basedOn w:val="DefaultParagraphFont"/>
    <w:uiPriority w:val="99"/>
    <w:unhideWhenUsed/>
    <w:rsid w:val="00840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Gendron</dc:creator>
  <cp:keywords/>
  <dc:description/>
  <cp:lastModifiedBy>Brianna Workman</cp:lastModifiedBy>
  <cp:revision>7</cp:revision>
  <cp:lastPrinted>2021-04-19T22:04:00Z</cp:lastPrinted>
  <dcterms:created xsi:type="dcterms:W3CDTF">2021-04-19T20:04:00Z</dcterms:created>
  <dcterms:modified xsi:type="dcterms:W3CDTF">2021-04-20T18:45:00Z</dcterms:modified>
</cp:coreProperties>
</file>